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5"/>
        <w:gridCol w:w="5505"/>
      </w:tblGrid>
      <w:tr w:rsidR="00EF774B" w:rsidRPr="00EF774B" w:rsidTr="00EF774B">
        <w:tc>
          <w:tcPr>
            <w:tcW w:w="3345" w:type="dxa"/>
            <w:shd w:val="clear" w:color="auto" w:fill="FFFFFF"/>
            <w:tcMar>
              <w:top w:w="15" w:type="dxa"/>
              <w:left w:w="15" w:type="dxa"/>
              <w:bottom w:w="15" w:type="dxa"/>
              <w:right w:w="15" w:type="dxa"/>
            </w:tcMar>
            <w:hideMark/>
          </w:tcPr>
          <w:p w:rsidR="00EF774B" w:rsidRPr="00EF774B" w:rsidRDefault="00EF774B" w:rsidP="00EF774B">
            <w:pPr>
              <w:spacing w:before="225" w:after="225" w:line="300" w:lineRule="atLeast"/>
              <w:jc w:val="center"/>
              <w:rPr>
                <w:rFonts w:ascii="Times New Roman" w:eastAsia="Times New Roman" w:hAnsi="Times New Roman" w:cs="Times New Roman"/>
                <w:color w:val="000000"/>
                <w:sz w:val="28"/>
                <w:szCs w:val="28"/>
              </w:rPr>
            </w:pPr>
            <w:r w:rsidRPr="00EF774B">
              <w:rPr>
                <w:rFonts w:ascii="Times New Roman" w:eastAsia="Times New Roman" w:hAnsi="Times New Roman" w:cs="Times New Roman"/>
                <w:b/>
                <w:bCs/>
                <w:color w:val="000000"/>
                <w:sz w:val="28"/>
                <w:szCs w:val="28"/>
              </w:rPr>
              <w:t>BỘ TÀI CHÍNH</w:t>
            </w:r>
            <w:r w:rsidRPr="00EF774B">
              <w:rPr>
                <w:rFonts w:ascii="Times New Roman" w:eastAsia="Times New Roman" w:hAnsi="Times New Roman" w:cs="Times New Roman"/>
                <w:b/>
                <w:bCs/>
                <w:color w:val="000000"/>
                <w:sz w:val="28"/>
                <w:szCs w:val="28"/>
              </w:rPr>
              <w:br/>
              <w:t>--------</w:t>
            </w:r>
          </w:p>
        </w:tc>
        <w:tc>
          <w:tcPr>
            <w:tcW w:w="5505" w:type="dxa"/>
            <w:shd w:val="clear" w:color="auto" w:fill="FFFFFF"/>
            <w:tcMar>
              <w:top w:w="15" w:type="dxa"/>
              <w:left w:w="15" w:type="dxa"/>
              <w:bottom w:w="15" w:type="dxa"/>
              <w:right w:w="15" w:type="dxa"/>
            </w:tcMar>
            <w:hideMark/>
          </w:tcPr>
          <w:p w:rsidR="00EF774B" w:rsidRPr="00EF774B" w:rsidRDefault="00EF774B" w:rsidP="00EF774B">
            <w:pPr>
              <w:spacing w:before="225" w:after="225" w:line="300" w:lineRule="atLeast"/>
              <w:jc w:val="center"/>
              <w:rPr>
                <w:rFonts w:ascii="Times New Roman" w:eastAsia="Times New Roman" w:hAnsi="Times New Roman" w:cs="Times New Roman"/>
                <w:color w:val="000000"/>
                <w:sz w:val="28"/>
                <w:szCs w:val="28"/>
              </w:rPr>
            </w:pPr>
            <w:r w:rsidRPr="00EF774B">
              <w:rPr>
                <w:rFonts w:ascii="Times New Roman" w:eastAsia="Times New Roman" w:hAnsi="Times New Roman" w:cs="Times New Roman"/>
                <w:b/>
                <w:bCs/>
                <w:color w:val="000000"/>
                <w:sz w:val="28"/>
                <w:szCs w:val="28"/>
              </w:rPr>
              <w:t>CỘNG HÒA XÃ HỘI CHỦ NGHĨA VIỆT NAM</w:t>
            </w:r>
            <w:r w:rsidRPr="00EF774B">
              <w:rPr>
                <w:rFonts w:ascii="Times New Roman" w:eastAsia="Times New Roman" w:hAnsi="Times New Roman" w:cs="Times New Roman"/>
                <w:b/>
                <w:bCs/>
                <w:color w:val="000000"/>
                <w:sz w:val="28"/>
                <w:szCs w:val="28"/>
              </w:rPr>
              <w:br/>
              <w:t>Độc lập - Tự do - Hạnh phúc </w:t>
            </w:r>
            <w:r w:rsidRPr="00EF774B">
              <w:rPr>
                <w:rFonts w:ascii="Times New Roman" w:eastAsia="Times New Roman" w:hAnsi="Times New Roman" w:cs="Times New Roman"/>
                <w:b/>
                <w:bCs/>
                <w:color w:val="000000"/>
                <w:sz w:val="28"/>
                <w:szCs w:val="28"/>
              </w:rPr>
              <w:br/>
              <w:t>---------------</w:t>
            </w:r>
          </w:p>
        </w:tc>
      </w:tr>
      <w:tr w:rsidR="00EF774B" w:rsidRPr="00EF774B" w:rsidTr="00EF774B">
        <w:tc>
          <w:tcPr>
            <w:tcW w:w="3345" w:type="dxa"/>
            <w:shd w:val="clear" w:color="auto" w:fill="FFFFFF"/>
            <w:tcMar>
              <w:top w:w="15" w:type="dxa"/>
              <w:left w:w="15" w:type="dxa"/>
              <w:bottom w:w="15" w:type="dxa"/>
              <w:right w:w="15" w:type="dxa"/>
            </w:tcMar>
            <w:hideMark/>
          </w:tcPr>
          <w:p w:rsidR="00EF774B" w:rsidRPr="00EF774B" w:rsidRDefault="00EF774B" w:rsidP="00EF774B">
            <w:pPr>
              <w:spacing w:before="225" w:after="225" w:line="300" w:lineRule="atLeast"/>
              <w:jc w:val="center"/>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Số: 92/2017/TT-BTC</w:t>
            </w:r>
          </w:p>
        </w:tc>
        <w:tc>
          <w:tcPr>
            <w:tcW w:w="5505" w:type="dxa"/>
            <w:shd w:val="clear" w:color="auto" w:fill="FFFFFF"/>
            <w:tcMar>
              <w:top w:w="15" w:type="dxa"/>
              <w:left w:w="15" w:type="dxa"/>
              <w:bottom w:w="15" w:type="dxa"/>
              <w:right w:w="15" w:type="dxa"/>
            </w:tcMar>
            <w:hideMark/>
          </w:tcPr>
          <w:p w:rsidR="00EF774B" w:rsidRPr="00EF774B" w:rsidRDefault="00EF774B" w:rsidP="00EF774B">
            <w:pPr>
              <w:spacing w:before="225" w:after="225" w:line="300" w:lineRule="atLeast"/>
              <w:jc w:val="right"/>
              <w:rPr>
                <w:rFonts w:ascii="Times New Roman" w:eastAsia="Times New Roman" w:hAnsi="Times New Roman" w:cs="Times New Roman"/>
                <w:color w:val="000000"/>
                <w:sz w:val="28"/>
                <w:szCs w:val="28"/>
              </w:rPr>
            </w:pPr>
            <w:r w:rsidRPr="00EF774B">
              <w:rPr>
                <w:rFonts w:ascii="Times New Roman" w:eastAsia="Times New Roman" w:hAnsi="Times New Roman" w:cs="Times New Roman"/>
                <w:i/>
                <w:iCs/>
                <w:color w:val="000000"/>
                <w:sz w:val="28"/>
                <w:szCs w:val="28"/>
              </w:rPr>
              <w:t>Hà Nội, ngày 18 tháng 9 năm 2017</w:t>
            </w:r>
          </w:p>
        </w:tc>
      </w:tr>
    </w:tbl>
    <w:p w:rsidR="00EF774B" w:rsidRPr="00EF774B" w:rsidRDefault="00EF774B" w:rsidP="00EF774B">
      <w:pPr>
        <w:shd w:val="clear" w:color="auto" w:fill="FFFFFF"/>
        <w:spacing w:before="225" w:after="225" w:line="300" w:lineRule="atLeast"/>
        <w:jc w:val="center"/>
        <w:rPr>
          <w:rFonts w:ascii="Times New Roman" w:eastAsia="Times New Roman" w:hAnsi="Times New Roman" w:cs="Times New Roman"/>
          <w:color w:val="000000"/>
          <w:sz w:val="28"/>
          <w:szCs w:val="28"/>
        </w:rPr>
      </w:pPr>
      <w:r w:rsidRPr="00EF774B">
        <w:rPr>
          <w:rFonts w:ascii="Times New Roman" w:eastAsia="Times New Roman" w:hAnsi="Times New Roman" w:cs="Times New Roman"/>
          <w:b/>
          <w:bCs/>
          <w:color w:val="000000"/>
          <w:sz w:val="28"/>
          <w:szCs w:val="28"/>
        </w:rPr>
        <w:t>THÔNG TƯ</w:t>
      </w:r>
    </w:p>
    <w:p w:rsidR="00EF774B" w:rsidRPr="00EF774B" w:rsidRDefault="00EF774B" w:rsidP="00EF774B">
      <w:pPr>
        <w:shd w:val="clear" w:color="auto" w:fill="FFFFFF"/>
        <w:spacing w:before="225" w:after="225" w:line="300" w:lineRule="atLeast"/>
        <w:jc w:val="center"/>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QUY ĐỊNH VỀ LẬP DỰ TOÁN, PHÂN BỔ VÀ QUYẾT TOÁN KINH PHÍ ĐỂ THỰC HIỆN SỬA CHỮA, BẢO TRÌ, CẢI TẠO, NÂNG CẤP, MỞ RỘNG CƠ SỞ VẬT CHẤT</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i/>
          <w:iCs/>
          <w:color w:val="000000"/>
          <w:sz w:val="28"/>
          <w:szCs w:val="28"/>
        </w:rPr>
        <w:t>Căn cứ Luật Ngân sách nhà nước ngày 25 tháng 6 năm 2015;</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i/>
          <w:iCs/>
          <w:color w:val="000000"/>
          <w:sz w:val="28"/>
          <w:szCs w:val="28"/>
        </w:rPr>
        <w:t>Căn cứ Luật Xây dựng ngày 18 tháng 6 năm 2014;</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i/>
          <w:iCs/>
          <w:color w:val="000000"/>
          <w:sz w:val="28"/>
          <w:szCs w:val="28"/>
        </w:rPr>
        <w:t>Căn cứ Nghị định số </w:t>
      </w:r>
      <w:hyperlink r:id="rId4" w:tgtFrame="_blank" w:history="1">
        <w:r w:rsidRPr="00EF774B">
          <w:rPr>
            <w:rFonts w:ascii="Times New Roman" w:eastAsia="Times New Roman" w:hAnsi="Times New Roman" w:cs="Times New Roman"/>
            <w:i/>
            <w:iCs/>
            <w:color w:val="0C3152"/>
            <w:sz w:val="28"/>
            <w:szCs w:val="28"/>
          </w:rPr>
          <w:t>163/2016/NĐ-CP</w:t>
        </w:r>
      </w:hyperlink>
      <w:r w:rsidRPr="00EF774B">
        <w:rPr>
          <w:rFonts w:ascii="Times New Roman" w:eastAsia="Times New Roman" w:hAnsi="Times New Roman" w:cs="Times New Roman"/>
          <w:i/>
          <w:iCs/>
          <w:color w:val="000000"/>
          <w:sz w:val="28"/>
          <w:szCs w:val="28"/>
        </w:rPr>
        <w:t> ngày 21 tháng 12 năm 2016 của Chính phủ quy định chi tiết và hướng dẫn thi hành Luật Ngân sách nhà nước;</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i/>
          <w:iCs/>
          <w:color w:val="000000"/>
          <w:sz w:val="28"/>
          <w:szCs w:val="28"/>
        </w:rPr>
        <w:t>Căn cứ Nghị định số </w:t>
      </w:r>
      <w:hyperlink r:id="rId5" w:tgtFrame="_blank" w:history="1">
        <w:r w:rsidRPr="00EF774B">
          <w:rPr>
            <w:rFonts w:ascii="Times New Roman" w:eastAsia="Times New Roman" w:hAnsi="Times New Roman" w:cs="Times New Roman"/>
            <w:i/>
            <w:iCs/>
            <w:color w:val="0C3152"/>
            <w:sz w:val="28"/>
            <w:szCs w:val="28"/>
          </w:rPr>
          <w:t>46/2015/NĐ-CP</w:t>
        </w:r>
      </w:hyperlink>
      <w:r w:rsidRPr="00EF774B">
        <w:rPr>
          <w:rFonts w:ascii="Times New Roman" w:eastAsia="Times New Roman" w:hAnsi="Times New Roman" w:cs="Times New Roman"/>
          <w:i/>
          <w:iCs/>
          <w:color w:val="000000"/>
          <w:sz w:val="28"/>
          <w:szCs w:val="28"/>
        </w:rPr>
        <w:t> ngày 12 tháng 5 năm 2015 của Chính phủ quy định về quản lý chất lượng và bảo trì công trình xây dựng;</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i/>
          <w:iCs/>
          <w:color w:val="000000"/>
          <w:sz w:val="28"/>
          <w:szCs w:val="28"/>
        </w:rPr>
        <w:t>Căn cứ Nghị định số </w:t>
      </w:r>
      <w:hyperlink r:id="rId6" w:tgtFrame="_blank" w:history="1">
        <w:r w:rsidRPr="00EF774B">
          <w:rPr>
            <w:rFonts w:ascii="Times New Roman" w:eastAsia="Times New Roman" w:hAnsi="Times New Roman" w:cs="Times New Roman"/>
            <w:i/>
            <w:iCs/>
            <w:color w:val="0C3152"/>
            <w:sz w:val="28"/>
            <w:szCs w:val="28"/>
          </w:rPr>
          <w:t>87/2017/NĐ-CP</w:t>
        </w:r>
      </w:hyperlink>
      <w:r w:rsidRPr="00EF774B">
        <w:rPr>
          <w:rFonts w:ascii="Times New Roman" w:eastAsia="Times New Roman" w:hAnsi="Times New Roman" w:cs="Times New Roman"/>
          <w:i/>
          <w:iCs/>
          <w:color w:val="000000"/>
          <w:sz w:val="28"/>
          <w:szCs w:val="28"/>
        </w:rPr>
        <w:t> ngày 26 tháng 7 năm 2017 của Chính phủ quy định chức năng, nhiệm vụ, quyền hạn và cơ cấu tổ chức của Bộ Tài chính;</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i/>
          <w:iCs/>
          <w:color w:val="000000"/>
          <w:sz w:val="28"/>
          <w:szCs w:val="28"/>
        </w:rPr>
        <w:t>Theo đề nghị của Vụ trưởng Vụ Tài chính Hành chính sự nghiệp;</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i/>
          <w:iCs/>
          <w:color w:val="000000"/>
          <w:sz w:val="28"/>
          <w:szCs w:val="28"/>
        </w:rPr>
        <w:t>Bộ trưởng Bộ Tài chính ban hành Thông tư quy định về lập dự toán, phân bổ và quyết toán kinh phí để thực hiện sửa chữa, bảo trì, cải tạo, nâng cấp, mở rộng cơ sở vật chất.</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b/>
          <w:bCs/>
          <w:color w:val="000000"/>
          <w:sz w:val="28"/>
          <w:szCs w:val="28"/>
        </w:rPr>
        <w:t>Điều 1. Phạm vi điều chỉnh, đối tượng áp dụng</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1. Phạm vi điều chỉnh</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a) Thông tư này điều chỉnh đối với kinh phí để thực hiện các công trình sửa chữa, bảo trì cơ sở vật chất theo quy định của Luật Xây dựng; kinh phí để thực hiện các công trình cải tạo, nâng cấp, mở rộng cơ sở vật chất.</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b) Thông tư này không điều chỉnh đối với:</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 Kinh phí để thực hiện các công trình sửa chữa, bảo trì, cải tạo, nâng cấp, mở rộng cơ sở vật chất trong lĩnh vực quốc phòng, an ninh và trật tự an toàn xã hội;</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 Xây dựng mới các hạng mục công trình trong các cơ sở đã có;</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 Các dự án sử dụng vốn đầu tư công;</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lastRenderedPageBreak/>
        <w:t>- Các công trình sửa chữa, cải tạo, nâng cấp, mở rộng có tính chất đặc thù đã được quy định tại các văn bản quy phạm pháp luật riêng.</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2. Đối tượng áp dụng:</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a) Các cơ quan nhà nước (không bao gồm cơ quan đại diện Việt Nam ở nước ngoài);</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b) Các tổ chức chính trị, tổ chức chính trị - xã hội; các hội được ngân sách nhà nước bảo đảm, hỗ trợ kinh phí hoạt động;</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c) Đơn vị sự nghiệp công lập;</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d) Các cơ quan, đơn vị, tổ chức, cá nhân có liên quan đến việc sửa chữa, bảo trì, cải tạo, mở rộng, nâng cấp cơ sở vật chất.</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b/>
          <w:bCs/>
          <w:color w:val="000000"/>
          <w:sz w:val="28"/>
          <w:szCs w:val="28"/>
        </w:rPr>
        <w:t>Điều 2. Nguồn kinh phí</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Kinh phí để thực hiện các công trình sửa chữa, bảo trì, cải tạo, nâng cấp, mở rộng cơ sở vật chất từ các nguồn kinh phí sau:</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1. Nguồn kinh phí chi thường xuyên ngân sách nhà nước trong các lĩnh vực theo quy định của Luật Ngân sách nhà nước.</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2. Nguồn phí được để lại theo chế độ quy định để chi thường xuyên.</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b/>
          <w:bCs/>
          <w:color w:val="000000"/>
          <w:sz w:val="28"/>
          <w:szCs w:val="28"/>
        </w:rPr>
        <w:t>Điều 3. Nguyên tắc quản lý kinh phí</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1. Kinh phí để thực hiện sửa chữa, bảo trì, cải tạo, nâng cấp, mở rộng cơ sở vật chất thuộc ngân sách cấp nào do ngân sách cấp đó đảm bảo và được tổng hợp vào dự toán hàng năm của cơ quan, đơn vị theo quy định của Luật Ngân sách nhà nước và các văn bản pháp luật khác có liên quan.</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2. Kinh phí để thực hiện sửa chữa, bảo trì, cải tạo, nâng cấp, mở rộng cơ sở vật chất phải được quản lý, sử dụng đúng mục đích, đúng chế độ và theo quy định tại Thông tư này.</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b/>
          <w:bCs/>
          <w:color w:val="000000"/>
          <w:sz w:val="28"/>
          <w:szCs w:val="28"/>
        </w:rPr>
        <w:t>Điều 4. Lập dự toán, phân bổ dự toán</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Việc lập dự toán, phân bổ dự toán thực hiện theo quy định tại Luật Ngân sách nhà nước và các văn bản hướng dẫn. Ngoài ra, Thông tư này hướng dẫn một số nội dung cụ thể như sau:</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1. Lập dự toán:</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a) Hàng năm, căn cứ hướng dẫn xây dựng dự toán ngân sách nhà nước của các cấp có thẩm quyền, nhiệm vụ thực hiện trong năm kế hoạch và các quy định tại Thông tư này; cơ quan, đơn vị trực thuộc lập dự toán kinh phí thực hiện sửa chữa, bảo trì, cải tạo, nâng cấp, mở rộng cơ sở vật chất tổng hợp chung vào dự toán của cơ quan, đơn vị mình; gửi cơ quan chủ quản ở trung ương và địa phương (đơn vị dự toán cấp I), để xem xét, tổng hợp chung vào dự toán của đơn vị dự toán cấp I gửi cơ quan tài chính cùng cấp để trình cấp có thẩm quyền quyết định;</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lastRenderedPageBreak/>
        <w:t>b) Hồ sơ tài liệu kèm theo dự toán kinh phí sửa chữa, bảo trì, cải tạo, nâng cấp, mở rộng cơ sở vật chất, bao gồm: Thuyết minh chi tiết về tên công trình; mục tiêu sửa chữa, bảo trì, cải tạo, nâng cấp, mở rộng; sự cần thiết, lý do thực hiện; văn bản phê duyệt của cấp có thẩm quyền; khối lượng công việc dự kiến; thời gian bắt đầu, thời gian kết thúc; dự toán kinh phí theo các nguồn vốn và phân kỳ thực hiện hàng năm.</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2. Về phân bổ dự toán:</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a) Các Bộ, cơ quan trung ương và địa phương phân bổ, giao dự toán chi ngân sách nhà nước cho các đơn vị sử dụng ngân sách phải đảm bảo khớp đúng dự toán chi được Thủ tướng Chính phủ giao, Bộ Tài chính hướng dẫn, Hội đồng nhân dân quyết định, Ủy ban nhân dân giao về tổng mức và chi tiết theo từng lĩnh vực chi.</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Đối với dự toán chi từ nguồn phí được để lại: Các Bộ, cơ quan trung ương và địa phương phân bổ, giao dự toán theo đúng quy định tại văn bản của cấp có thẩm quyền quy định đối với từng khoản phí được để lại.</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b) Hồ sơ tài liệu kèm theo khi phân bổ dự toán các công trình sửa chữa, bảo trì, cải tạo, nâng cấp, mở rộng cơ sở vật chất như sau:</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 Đối với công trình sửa chữa, bảo trì, cải tạo, nâng cấp, mở rộng có chi phí thực hiện dưới 500 triệu đồng, tài liệu bao gồm: Văn bản phê duyệt của cấp có thẩm quyền: Tên công trình, mục tiêu sửa chữa, bảo trì, cải tạo, nâng cấp, mở rộng; sự cần thiết, lý do thực hiện; dự toán công trình được cấp có thẩm quyền phê duyệt.</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 Đối với công trình sửa chữa, bảo trì, cải tạo, nâng cấp, mở rộng có chi phí thực hiện từ 500 triệu đồng trở lên: Ngoài các tài liệu theo quy định đối với các công trình có chi phí thực hiện dưới 500 triệu đồng; cơ quan, đơn vị gửi thêm quyết định phê duyệt dự án sửa chữa, bảo trì, cải tạo, nâng cấp, mở rộng kèm theo dự án (hoặc quyết định phê duyệt báo cáo kinh tế kỹ thuật kèm theo báo cáo kinh tế kỹ thuật đối với công trình chỉ lập báo cáo kinh tế kỹ thuật); dự án, báo cáo kinh tế kỹ thuật không bắt buộc phê duyệt trước 31/10 năm trước năm kế hoạch nhưng phải có trước khi phân bổ dự toán.</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3. Trường hợp trong năm cơ quan, đơn vị có phát sinh nhu cầu sửa chữa, bảo trì, cải tạo, nâng cấp, mở rộng cơ sở vật chất, cơ quan đơn vị tự sắp xếp trong phạm vi dự toán được giao và đảm bảo hồ sơ tài liệu về lập và phân bổ dự toán như quy định tại điểm b khoản 1 và điểm b khoản 2 Điều 4 Thông tư này.</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b/>
          <w:bCs/>
          <w:color w:val="000000"/>
          <w:sz w:val="28"/>
          <w:szCs w:val="28"/>
        </w:rPr>
        <w:t>Điều 5. Quyết toán kinh phí</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Các Bộ, cơ quan trung ương và địa phương thực hiện tổng hợp chung kinh phí thực hiện sửa chữa, bảo trì, cải tạo, nâng cấp, mở rộng cơ sở vật chất trong báo cáo quyết toán ngân sách hàng năm của đơn vị theo quy định tại Luật Ngân sách nhà nước, Luật Kế toán và các văn bản hướng dẫn. Cụ thể như sau:</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1. Các công trình có mức vốn dưới 500 triệu đồng: Các cơ quan, đơn vị tổng hợp chung trong báo cáo quyết toán hàng năm theo quy định tại Quyết định số </w:t>
      </w:r>
      <w:hyperlink r:id="rId7" w:tgtFrame="_blank" w:history="1">
        <w:r w:rsidRPr="00EF774B">
          <w:rPr>
            <w:rFonts w:ascii="Times New Roman" w:eastAsia="Times New Roman" w:hAnsi="Times New Roman" w:cs="Times New Roman"/>
            <w:color w:val="0C3152"/>
            <w:sz w:val="28"/>
            <w:szCs w:val="28"/>
          </w:rPr>
          <w:t>19/2006/QĐ-BTC</w:t>
        </w:r>
      </w:hyperlink>
      <w:r w:rsidRPr="00EF774B">
        <w:rPr>
          <w:rFonts w:ascii="Times New Roman" w:eastAsia="Times New Roman" w:hAnsi="Times New Roman" w:cs="Times New Roman"/>
          <w:color w:val="000000"/>
          <w:sz w:val="28"/>
          <w:szCs w:val="28"/>
        </w:rPr>
        <w:t> ngày 30/3/2006 của Bộ trưởng Bộ Tài chính về việc ban hành Chế độ kế toán Hành chính sự nghiệp và Thông tư số </w:t>
      </w:r>
      <w:hyperlink r:id="rId8" w:tgtFrame="_blank" w:history="1">
        <w:r w:rsidRPr="00EF774B">
          <w:rPr>
            <w:rFonts w:ascii="Times New Roman" w:eastAsia="Times New Roman" w:hAnsi="Times New Roman" w:cs="Times New Roman"/>
            <w:color w:val="0C3152"/>
            <w:sz w:val="28"/>
            <w:szCs w:val="28"/>
          </w:rPr>
          <w:t>01/2007/TT-BTC</w:t>
        </w:r>
      </w:hyperlink>
      <w:r w:rsidRPr="00EF774B">
        <w:rPr>
          <w:rFonts w:ascii="Times New Roman" w:eastAsia="Times New Roman" w:hAnsi="Times New Roman" w:cs="Times New Roman"/>
          <w:color w:val="000000"/>
          <w:sz w:val="28"/>
          <w:szCs w:val="28"/>
        </w:rPr>
        <w:t xml:space="preserve"> ngày </w:t>
      </w:r>
      <w:r w:rsidRPr="00EF774B">
        <w:rPr>
          <w:rFonts w:ascii="Times New Roman" w:eastAsia="Times New Roman" w:hAnsi="Times New Roman" w:cs="Times New Roman"/>
          <w:color w:val="000000"/>
          <w:sz w:val="28"/>
          <w:szCs w:val="28"/>
        </w:rPr>
        <w:lastRenderedPageBreak/>
        <w:t>02/01/2007 của Bộ Tài chính về việc hướng dẫn xét duyệt, thẩm định và thông báo quyết toán năm đối với các cơ quan hành chính, đơn vị sự nghiệp, tổ chức được ngân sách nhà nước hỗ trợ và ngân sách các cấp.</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2. Các công trình có mức vốn từ 500 triệu đồng trở lên: Ngoài việc lập quyết toán hàng năm theo quy định như khoản 1 Điều 5 Thông tư này, các cơ quan, đơn vị lập báo cáo quyết toán dự án hoàn thành theo quy định tại Thông tư số </w:t>
      </w:r>
      <w:hyperlink r:id="rId9" w:tgtFrame="_blank" w:history="1">
        <w:r w:rsidRPr="00EF774B">
          <w:rPr>
            <w:rFonts w:ascii="Times New Roman" w:eastAsia="Times New Roman" w:hAnsi="Times New Roman" w:cs="Times New Roman"/>
            <w:color w:val="0C3152"/>
            <w:sz w:val="28"/>
            <w:szCs w:val="28"/>
          </w:rPr>
          <w:t>09/2016/TT-BTC</w:t>
        </w:r>
      </w:hyperlink>
      <w:r w:rsidRPr="00EF774B">
        <w:rPr>
          <w:rFonts w:ascii="Times New Roman" w:eastAsia="Times New Roman" w:hAnsi="Times New Roman" w:cs="Times New Roman"/>
          <w:color w:val="000000"/>
          <w:sz w:val="28"/>
          <w:szCs w:val="28"/>
        </w:rPr>
        <w:t> ngày 18/01/2016 của Bộ Tài chính quy định về quyết toán dự án hoàn thành thuộc nguồn vốn nhà nước.</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b/>
          <w:bCs/>
          <w:color w:val="000000"/>
          <w:sz w:val="28"/>
          <w:szCs w:val="28"/>
        </w:rPr>
        <w:t>Điều 6. Điều khoản thi hành</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1. Thông tư này có hiệu lực thi hành từ ngày 10 tháng 11 năm 2017.</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2. Đối với các công trình sửa chữa, bảo trì, cải tạo, nâng cấp, mở rộng cơ sở vật chất được phân bổ kinh phí thực hiện trước thời điểm Thông tư này có hiệu lực thi hành thì thực hiện quyết toán theo quy định tại Thông tư số </w:t>
      </w:r>
      <w:hyperlink r:id="rId10" w:tgtFrame="_blank" w:history="1">
        <w:r w:rsidRPr="00EF774B">
          <w:rPr>
            <w:rFonts w:ascii="Times New Roman" w:eastAsia="Times New Roman" w:hAnsi="Times New Roman" w:cs="Times New Roman"/>
            <w:color w:val="0C3152"/>
            <w:sz w:val="28"/>
            <w:szCs w:val="28"/>
          </w:rPr>
          <w:t>86/2011/TT-BTC</w:t>
        </w:r>
      </w:hyperlink>
      <w:r w:rsidRPr="00EF774B">
        <w:rPr>
          <w:rFonts w:ascii="Times New Roman" w:eastAsia="Times New Roman" w:hAnsi="Times New Roman" w:cs="Times New Roman"/>
          <w:color w:val="000000"/>
          <w:sz w:val="28"/>
          <w:szCs w:val="28"/>
        </w:rPr>
        <w:t> ngày 17/6/2011 của Bộ Tài chính định về quản lý, thanh toán vốn đầu tư và vốn sự nghiệp có tính chất đầu tư thuộc nguồn ngân sách nhà nước.</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3. Mục D phần II Thông tư số </w:t>
      </w:r>
      <w:hyperlink r:id="rId11" w:tgtFrame="_blank" w:history="1">
        <w:r w:rsidRPr="00EF774B">
          <w:rPr>
            <w:rFonts w:ascii="Times New Roman" w:eastAsia="Times New Roman" w:hAnsi="Times New Roman" w:cs="Times New Roman"/>
            <w:color w:val="0C3152"/>
            <w:sz w:val="28"/>
            <w:szCs w:val="28"/>
          </w:rPr>
          <w:t>86/2011/TT-BTC</w:t>
        </w:r>
      </w:hyperlink>
      <w:r w:rsidRPr="00EF774B">
        <w:rPr>
          <w:rFonts w:ascii="Times New Roman" w:eastAsia="Times New Roman" w:hAnsi="Times New Roman" w:cs="Times New Roman"/>
          <w:color w:val="000000"/>
          <w:sz w:val="28"/>
          <w:szCs w:val="28"/>
        </w:rPr>
        <w:t> ngày 17/6/2011 của Bộ Tài chính quy định về quản lý, thanh toán vốn đầu tư và vốn sự nghiệp có tính chất đầu tư thuộc nguồn ngân sách nhà nước và mục 4 chương II Thông tư số </w:t>
      </w:r>
      <w:hyperlink r:id="rId12" w:tgtFrame="_blank" w:history="1">
        <w:r w:rsidRPr="00EF774B">
          <w:rPr>
            <w:rFonts w:ascii="Times New Roman" w:eastAsia="Times New Roman" w:hAnsi="Times New Roman" w:cs="Times New Roman"/>
            <w:color w:val="0C3152"/>
            <w:sz w:val="28"/>
            <w:szCs w:val="28"/>
          </w:rPr>
          <w:t>22/2015/TT-BTC</w:t>
        </w:r>
      </w:hyperlink>
      <w:r w:rsidRPr="00EF774B">
        <w:rPr>
          <w:rFonts w:ascii="Times New Roman" w:eastAsia="Times New Roman" w:hAnsi="Times New Roman" w:cs="Times New Roman"/>
          <w:color w:val="000000"/>
          <w:sz w:val="28"/>
          <w:szCs w:val="28"/>
        </w:rPr>
        <w:t> ngày 12/02/2015 của Bộ Tài chính quy định về quản lý, thanh toán, quyết toán vốn đầu tư và vốn sự nghiệp có tính chất đầu tư trên địa bàn các huyện nghèo và các huyện có tỷ lệ hộ nghèo cao hết hiệu lực thi hành từ ngày Thông tư này có hiệu lực thi hành.</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4. Trong quá trình thực hiện, nếu các văn bản quy phạm pháp luật được dẫn chiếu để áp dụng tại Thông tư này được sửa đổi, bổ sung hoặc thay thế bằng văn bản mới thì sẽ áp dụng theo các văn bản mới đó.</w:t>
      </w:r>
    </w:p>
    <w:p w:rsidR="00EF774B" w:rsidRPr="00EF774B" w:rsidRDefault="00EF774B" w:rsidP="00EF774B">
      <w:pPr>
        <w:shd w:val="clear" w:color="auto" w:fill="FFFFFF"/>
        <w:spacing w:before="225" w:after="225" w:line="300" w:lineRule="atLeast"/>
        <w:jc w:val="both"/>
        <w:rPr>
          <w:rFonts w:ascii="Times New Roman" w:eastAsia="Times New Roman" w:hAnsi="Times New Roman" w:cs="Times New Roman"/>
          <w:color w:val="000000"/>
          <w:sz w:val="28"/>
          <w:szCs w:val="28"/>
        </w:rPr>
      </w:pPr>
      <w:r w:rsidRPr="00EF774B">
        <w:rPr>
          <w:rFonts w:ascii="Times New Roman" w:eastAsia="Times New Roman" w:hAnsi="Times New Roman" w:cs="Times New Roman"/>
          <w:color w:val="000000"/>
          <w:sz w:val="28"/>
          <w:szCs w:val="28"/>
        </w:rPr>
        <w:t>5. Trong quá trình thực hiện, nếu có vướng mắc, đề nghị các cơ quan, đơn vị phản ánh về Bộ Tài chính để nghiên cứu giải quyết./.</w:t>
      </w:r>
    </w:p>
    <w:tbl>
      <w:tblPr>
        <w:tblW w:w="0" w:type="auto"/>
        <w:shd w:val="clear" w:color="auto" w:fill="FFFFFF"/>
        <w:tblCellMar>
          <w:left w:w="0" w:type="dxa"/>
          <w:right w:w="0" w:type="dxa"/>
        </w:tblCellMar>
        <w:tblLook w:val="04A0"/>
      </w:tblPr>
      <w:tblGrid>
        <w:gridCol w:w="5925"/>
        <w:gridCol w:w="3540"/>
      </w:tblGrid>
      <w:tr w:rsidR="00EF774B" w:rsidRPr="00EF774B" w:rsidTr="00EF774B">
        <w:tc>
          <w:tcPr>
            <w:tcW w:w="5925" w:type="dxa"/>
            <w:shd w:val="clear" w:color="auto" w:fill="FFFFFF"/>
            <w:tcMar>
              <w:top w:w="15" w:type="dxa"/>
              <w:left w:w="15" w:type="dxa"/>
              <w:bottom w:w="15" w:type="dxa"/>
              <w:right w:w="15" w:type="dxa"/>
            </w:tcMar>
            <w:hideMark/>
          </w:tcPr>
          <w:p w:rsidR="00EF774B" w:rsidRPr="00EF774B" w:rsidRDefault="00EF774B" w:rsidP="00EF774B">
            <w:pPr>
              <w:spacing w:before="225" w:after="225" w:line="300" w:lineRule="atLeast"/>
              <w:rPr>
                <w:rFonts w:ascii="Times New Roman" w:eastAsia="Times New Roman" w:hAnsi="Times New Roman" w:cs="Times New Roman"/>
                <w:color w:val="000000"/>
                <w:sz w:val="28"/>
                <w:szCs w:val="28"/>
              </w:rPr>
            </w:pPr>
            <w:r w:rsidRPr="00EF774B">
              <w:rPr>
                <w:rFonts w:ascii="Times New Roman" w:eastAsia="Times New Roman" w:hAnsi="Times New Roman" w:cs="Times New Roman"/>
                <w:b/>
                <w:bCs/>
                <w:color w:val="000000"/>
                <w:sz w:val="28"/>
                <w:szCs w:val="28"/>
              </w:rPr>
              <w:t> </w:t>
            </w:r>
            <w:r w:rsidRPr="00EF774B">
              <w:rPr>
                <w:rFonts w:ascii="Times New Roman" w:eastAsia="Times New Roman" w:hAnsi="Times New Roman" w:cs="Times New Roman"/>
                <w:b/>
                <w:bCs/>
                <w:i/>
                <w:iCs/>
                <w:color w:val="000000"/>
                <w:sz w:val="28"/>
                <w:szCs w:val="28"/>
              </w:rPr>
              <w:t>Nơi nhận:</w:t>
            </w:r>
            <w:r w:rsidRPr="00EF774B">
              <w:rPr>
                <w:rFonts w:ascii="Times New Roman" w:eastAsia="Times New Roman" w:hAnsi="Times New Roman" w:cs="Times New Roman"/>
                <w:b/>
                <w:bCs/>
                <w:i/>
                <w:iCs/>
                <w:color w:val="000000"/>
                <w:sz w:val="28"/>
                <w:szCs w:val="28"/>
              </w:rPr>
              <w:br/>
            </w:r>
            <w:r w:rsidRPr="00EF774B">
              <w:rPr>
                <w:rFonts w:ascii="Times New Roman" w:eastAsia="Times New Roman" w:hAnsi="Times New Roman" w:cs="Times New Roman"/>
                <w:color w:val="000000"/>
                <w:sz w:val="28"/>
                <w:szCs w:val="28"/>
              </w:rPr>
              <w:t>- Văn phòng Tổng Bí thư;</w:t>
            </w:r>
            <w:r w:rsidRPr="00EF774B">
              <w:rPr>
                <w:rFonts w:ascii="Times New Roman" w:eastAsia="Times New Roman" w:hAnsi="Times New Roman" w:cs="Times New Roman"/>
                <w:color w:val="000000"/>
                <w:sz w:val="28"/>
                <w:szCs w:val="28"/>
              </w:rPr>
              <w:br/>
              <w:t>- VP Chính phủ, VP Quốc hội;</w:t>
            </w:r>
            <w:r w:rsidRPr="00EF774B">
              <w:rPr>
                <w:rFonts w:ascii="Times New Roman" w:eastAsia="Times New Roman" w:hAnsi="Times New Roman" w:cs="Times New Roman"/>
                <w:color w:val="000000"/>
                <w:sz w:val="28"/>
                <w:szCs w:val="28"/>
              </w:rPr>
              <w:br/>
              <w:t>- VP Chủ tịch nước;</w:t>
            </w:r>
            <w:r w:rsidRPr="00EF774B">
              <w:rPr>
                <w:rFonts w:ascii="Times New Roman" w:eastAsia="Times New Roman" w:hAnsi="Times New Roman" w:cs="Times New Roman"/>
                <w:color w:val="000000"/>
                <w:sz w:val="28"/>
                <w:szCs w:val="28"/>
              </w:rPr>
              <w:br/>
              <w:t>- VP TW Đảng và các Ban của Đảng;</w:t>
            </w:r>
            <w:r w:rsidRPr="00EF774B">
              <w:rPr>
                <w:rFonts w:ascii="Times New Roman" w:eastAsia="Times New Roman" w:hAnsi="Times New Roman" w:cs="Times New Roman"/>
                <w:color w:val="000000"/>
                <w:sz w:val="28"/>
                <w:szCs w:val="28"/>
              </w:rPr>
              <w:br/>
              <w:t>- Toà án nhân dân tối cao, Viện KSNDTC;</w:t>
            </w:r>
            <w:r w:rsidRPr="00EF774B">
              <w:rPr>
                <w:rFonts w:ascii="Times New Roman" w:eastAsia="Times New Roman" w:hAnsi="Times New Roman" w:cs="Times New Roman"/>
                <w:color w:val="000000"/>
                <w:sz w:val="28"/>
                <w:szCs w:val="28"/>
              </w:rPr>
              <w:br/>
              <w:t>- Kiểm toán Nhà nước;</w:t>
            </w:r>
            <w:r w:rsidRPr="00EF774B">
              <w:rPr>
                <w:rFonts w:ascii="Times New Roman" w:eastAsia="Times New Roman" w:hAnsi="Times New Roman" w:cs="Times New Roman"/>
                <w:color w:val="000000"/>
                <w:sz w:val="28"/>
                <w:szCs w:val="28"/>
              </w:rPr>
              <w:br/>
              <w:t>- Các Bộ, cơ quan ngang Bộ, cơ quan thuộc CP;</w:t>
            </w:r>
            <w:r w:rsidRPr="00EF774B">
              <w:rPr>
                <w:rFonts w:ascii="Times New Roman" w:eastAsia="Times New Roman" w:hAnsi="Times New Roman" w:cs="Times New Roman"/>
                <w:color w:val="000000"/>
                <w:sz w:val="28"/>
                <w:szCs w:val="28"/>
              </w:rPr>
              <w:br/>
              <w:t>- Cơ quan TW của các Hội, đoàn thể;</w:t>
            </w:r>
            <w:r w:rsidRPr="00EF774B">
              <w:rPr>
                <w:rFonts w:ascii="Times New Roman" w:eastAsia="Times New Roman" w:hAnsi="Times New Roman" w:cs="Times New Roman"/>
                <w:color w:val="000000"/>
                <w:sz w:val="28"/>
                <w:szCs w:val="28"/>
              </w:rPr>
              <w:br/>
              <w:t>- HĐND, UBND các tỉnh, TP trực thuộc TW; </w:t>
            </w:r>
            <w:r w:rsidRPr="00EF774B">
              <w:rPr>
                <w:rFonts w:ascii="Times New Roman" w:eastAsia="Times New Roman" w:hAnsi="Times New Roman" w:cs="Times New Roman"/>
                <w:b/>
                <w:bCs/>
                <w:color w:val="000000"/>
                <w:sz w:val="28"/>
                <w:szCs w:val="28"/>
              </w:rPr>
              <w:br/>
            </w:r>
            <w:r w:rsidRPr="00EF774B">
              <w:rPr>
                <w:rFonts w:ascii="Times New Roman" w:eastAsia="Times New Roman" w:hAnsi="Times New Roman" w:cs="Times New Roman"/>
                <w:color w:val="000000"/>
                <w:sz w:val="28"/>
                <w:szCs w:val="28"/>
              </w:rPr>
              <w:t>- Sở TC, KBNN các tỉnh, TP trực thuộc TW;</w:t>
            </w:r>
            <w:r w:rsidRPr="00EF774B">
              <w:rPr>
                <w:rFonts w:ascii="Times New Roman" w:eastAsia="Times New Roman" w:hAnsi="Times New Roman" w:cs="Times New Roman"/>
                <w:color w:val="000000"/>
                <w:sz w:val="28"/>
                <w:szCs w:val="28"/>
              </w:rPr>
              <w:br/>
              <w:t>- Cục kiểm tra văn bản QPPL - Bộ Tư pháp;</w:t>
            </w:r>
            <w:r w:rsidRPr="00EF774B">
              <w:rPr>
                <w:rFonts w:ascii="Times New Roman" w:eastAsia="Times New Roman" w:hAnsi="Times New Roman" w:cs="Times New Roman"/>
                <w:color w:val="000000"/>
                <w:sz w:val="28"/>
                <w:szCs w:val="28"/>
              </w:rPr>
              <w:br/>
              <w:t>- Công báo;</w:t>
            </w:r>
            <w:r w:rsidRPr="00EF774B">
              <w:rPr>
                <w:rFonts w:ascii="Times New Roman" w:eastAsia="Times New Roman" w:hAnsi="Times New Roman" w:cs="Times New Roman"/>
                <w:color w:val="000000"/>
                <w:sz w:val="28"/>
                <w:szCs w:val="28"/>
              </w:rPr>
              <w:br/>
              <w:t>- Cổng Thông tin điện tử Chính phủ;</w:t>
            </w:r>
            <w:r w:rsidRPr="00EF774B">
              <w:rPr>
                <w:rFonts w:ascii="Times New Roman" w:eastAsia="Times New Roman" w:hAnsi="Times New Roman" w:cs="Times New Roman"/>
                <w:color w:val="000000"/>
                <w:sz w:val="28"/>
                <w:szCs w:val="28"/>
              </w:rPr>
              <w:br/>
            </w:r>
            <w:r w:rsidRPr="00EF774B">
              <w:rPr>
                <w:rFonts w:ascii="Times New Roman" w:eastAsia="Times New Roman" w:hAnsi="Times New Roman" w:cs="Times New Roman"/>
                <w:color w:val="000000"/>
                <w:sz w:val="28"/>
                <w:szCs w:val="28"/>
              </w:rPr>
              <w:lastRenderedPageBreak/>
              <w:t>- Cổng Thông tin điện tử Bộ Tài chính;</w:t>
            </w:r>
            <w:r w:rsidRPr="00EF774B">
              <w:rPr>
                <w:rFonts w:ascii="Times New Roman" w:eastAsia="Times New Roman" w:hAnsi="Times New Roman" w:cs="Times New Roman"/>
                <w:color w:val="000000"/>
                <w:sz w:val="28"/>
                <w:szCs w:val="28"/>
              </w:rPr>
              <w:br/>
              <w:t>- Các đơn vị thuộc Bộ Tài chính;</w:t>
            </w:r>
            <w:r w:rsidRPr="00EF774B">
              <w:rPr>
                <w:rFonts w:ascii="Times New Roman" w:eastAsia="Times New Roman" w:hAnsi="Times New Roman" w:cs="Times New Roman"/>
                <w:color w:val="000000"/>
                <w:sz w:val="28"/>
                <w:szCs w:val="28"/>
              </w:rPr>
              <w:br/>
              <w:t>- Lưu: VT, HCSN. (400b)</w:t>
            </w:r>
          </w:p>
        </w:tc>
        <w:tc>
          <w:tcPr>
            <w:tcW w:w="3540" w:type="dxa"/>
            <w:shd w:val="clear" w:color="auto" w:fill="FFFFFF"/>
            <w:tcMar>
              <w:top w:w="15" w:type="dxa"/>
              <w:left w:w="15" w:type="dxa"/>
              <w:bottom w:w="15" w:type="dxa"/>
              <w:right w:w="15" w:type="dxa"/>
            </w:tcMar>
            <w:hideMark/>
          </w:tcPr>
          <w:p w:rsidR="00EF774B" w:rsidRPr="00EF774B" w:rsidRDefault="00EF774B" w:rsidP="00EF774B">
            <w:pPr>
              <w:spacing w:before="225" w:after="225" w:line="300" w:lineRule="atLeast"/>
              <w:jc w:val="center"/>
              <w:rPr>
                <w:rFonts w:ascii="Times New Roman" w:eastAsia="Times New Roman" w:hAnsi="Times New Roman" w:cs="Times New Roman"/>
                <w:color w:val="000000"/>
                <w:sz w:val="28"/>
                <w:szCs w:val="28"/>
              </w:rPr>
            </w:pPr>
            <w:r w:rsidRPr="00EF774B">
              <w:rPr>
                <w:rFonts w:ascii="Times New Roman" w:eastAsia="Times New Roman" w:hAnsi="Times New Roman" w:cs="Times New Roman"/>
                <w:b/>
                <w:bCs/>
                <w:color w:val="000000"/>
                <w:sz w:val="28"/>
                <w:szCs w:val="28"/>
              </w:rPr>
              <w:lastRenderedPageBreak/>
              <w:t> KT. BỘ TRƯỞNG </w:t>
            </w:r>
            <w:r w:rsidRPr="00EF774B">
              <w:rPr>
                <w:rFonts w:ascii="Times New Roman" w:eastAsia="Times New Roman" w:hAnsi="Times New Roman" w:cs="Times New Roman"/>
                <w:b/>
                <w:bCs/>
                <w:color w:val="000000"/>
                <w:sz w:val="28"/>
                <w:szCs w:val="28"/>
              </w:rPr>
              <w:br/>
              <w:t> THỨ TRƯỞNG</w:t>
            </w:r>
            <w:r w:rsidRPr="00EF774B">
              <w:rPr>
                <w:rFonts w:ascii="Times New Roman" w:eastAsia="Times New Roman" w:hAnsi="Times New Roman" w:cs="Times New Roman"/>
                <w:b/>
                <w:bCs/>
                <w:color w:val="000000"/>
                <w:sz w:val="28"/>
                <w:szCs w:val="28"/>
              </w:rPr>
              <w:br/>
            </w:r>
            <w:r w:rsidRPr="00EF774B">
              <w:rPr>
                <w:rFonts w:ascii="Times New Roman" w:eastAsia="Times New Roman" w:hAnsi="Times New Roman" w:cs="Times New Roman"/>
                <w:b/>
                <w:bCs/>
                <w:color w:val="000000"/>
                <w:sz w:val="28"/>
                <w:szCs w:val="28"/>
              </w:rPr>
              <w:br/>
            </w:r>
            <w:r w:rsidRPr="00EF774B">
              <w:rPr>
                <w:rFonts w:ascii="Times New Roman" w:eastAsia="Times New Roman" w:hAnsi="Times New Roman" w:cs="Times New Roman"/>
                <w:b/>
                <w:bCs/>
                <w:color w:val="000000"/>
                <w:sz w:val="28"/>
                <w:szCs w:val="28"/>
              </w:rPr>
              <w:br/>
            </w:r>
            <w:r w:rsidRPr="00EF774B">
              <w:rPr>
                <w:rFonts w:ascii="Times New Roman" w:eastAsia="Times New Roman" w:hAnsi="Times New Roman" w:cs="Times New Roman"/>
                <w:b/>
                <w:bCs/>
                <w:color w:val="000000"/>
                <w:sz w:val="28"/>
                <w:szCs w:val="28"/>
              </w:rPr>
              <w:br/>
            </w:r>
            <w:r w:rsidRPr="00EF774B">
              <w:rPr>
                <w:rFonts w:ascii="Times New Roman" w:eastAsia="Times New Roman" w:hAnsi="Times New Roman" w:cs="Times New Roman"/>
                <w:b/>
                <w:bCs/>
                <w:color w:val="000000"/>
                <w:sz w:val="28"/>
                <w:szCs w:val="28"/>
              </w:rPr>
              <w:br/>
              <w:t>Trần Xuân Hà</w:t>
            </w:r>
          </w:p>
        </w:tc>
      </w:tr>
    </w:tbl>
    <w:p w:rsidR="0047755E" w:rsidRPr="00EF774B" w:rsidRDefault="0047755E">
      <w:pPr>
        <w:rPr>
          <w:rFonts w:ascii="Times New Roman" w:hAnsi="Times New Roman" w:cs="Times New Roman"/>
          <w:sz w:val="28"/>
          <w:szCs w:val="28"/>
        </w:rPr>
      </w:pPr>
    </w:p>
    <w:sectPr w:rsidR="0047755E" w:rsidRPr="00EF774B" w:rsidSect="00323AC6">
      <w:pgSz w:w="11907" w:h="16840" w:code="9"/>
      <w:pgMar w:top="907" w:right="964" w:bottom="567"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EF774B"/>
    <w:rsid w:val="000D691C"/>
    <w:rsid w:val="00323AC6"/>
    <w:rsid w:val="0047755E"/>
    <w:rsid w:val="008E0412"/>
    <w:rsid w:val="00942AF6"/>
    <w:rsid w:val="009F6171"/>
    <w:rsid w:val="00A93D1A"/>
    <w:rsid w:val="00EF7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77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774B"/>
    <w:rPr>
      <w:b/>
      <w:bCs/>
    </w:rPr>
  </w:style>
  <w:style w:type="character" w:styleId="Hyperlink">
    <w:name w:val="Hyperlink"/>
    <w:basedOn w:val="DefaultParagraphFont"/>
    <w:uiPriority w:val="99"/>
    <w:semiHidden/>
    <w:unhideWhenUsed/>
    <w:rsid w:val="00EF774B"/>
    <w:rPr>
      <w:color w:val="0000FF"/>
      <w:u w:val="single"/>
    </w:rPr>
  </w:style>
</w:styles>
</file>

<file path=word/webSettings.xml><?xml version="1.0" encoding="utf-8"?>
<w:webSettings xmlns:r="http://schemas.openxmlformats.org/officeDocument/2006/relationships" xmlns:w="http://schemas.openxmlformats.org/wordprocessingml/2006/main">
  <w:divs>
    <w:div w:id="11129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01/2007/TT-BTC&amp;area=2&amp;type=0&amp;match=False&amp;vc=True&amp;lan=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phap-luat/tim-van-ban.aspx?keyword=19/2006/Q%C4%90-BTC&amp;area=2&amp;type=0&amp;match=False&amp;vc=True&amp;lan=1" TargetMode="External"/><Relationship Id="rId12" Type="http://schemas.openxmlformats.org/officeDocument/2006/relationships/hyperlink" Target="https://thuvienphapluat.vn/phap-luat/tim-van-ban.aspx?keyword=22/2015/TT-BTC&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87/2017/N%C4%90-CP&amp;area=2&amp;type=0&amp;match=False&amp;vc=True&amp;lan=1" TargetMode="External"/><Relationship Id="rId11" Type="http://schemas.openxmlformats.org/officeDocument/2006/relationships/hyperlink" Target="https://thuvienphapluat.vn/phap-luat/tim-van-ban.aspx?keyword=86/2011/TT-BTC&amp;area=2&amp;type=0&amp;match=False&amp;vc=True&amp;lan=1" TargetMode="External"/><Relationship Id="rId5" Type="http://schemas.openxmlformats.org/officeDocument/2006/relationships/hyperlink" Target="https://thuvienphapluat.vn/phap-luat/tim-van-ban.aspx?keyword=46/2015/N%C4%90-CP&amp;area=2&amp;type=0&amp;match=False&amp;vc=True&amp;lan=1" TargetMode="External"/><Relationship Id="rId10" Type="http://schemas.openxmlformats.org/officeDocument/2006/relationships/hyperlink" Target="https://thuvienphapluat.vn/phap-luat/tim-van-ban.aspx?keyword=86/2011/TT-BTC&amp;area=2&amp;type=0&amp;match=False&amp;vc=True&amp;lan=1" TargetMode="External"/><Relationship Id="rId4" Type="http://schemas.openxmlformats.org/officeDocument/2006/relationships/hyperlink" Target="https://thuvienphapluat.vn/phap-luat/tim-van-ban.aspx?keyword=163/2016/N%C4%90-CP&amp;area=2&amp;type=0&amp;match=False&amp;vc=True&amp;lan=1" TargetMode="External"/><Relationship Id="rId9" Type="http://schemas.openxmlformats.org/officeDocument/2006/relationships/hyperlink" Target="https://thuvienphapluat.vn/phap-luat/tim-van-ban.aspx?keyword=09/2016/TT-BTC&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8883</Characters>
  <Application>Microsoft Office Word</Application>
  <DocSecurity>0</DocSecurity>
  <Lines>74</Lines>
  <Paragraphs>20</Paragraphs>
  <ScaleCrop>false</ScaleCrop>
  <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2017-11-16T09:30:00Z</dcterms:created>
  <dcterms:modified xsi:type="dcterms:W3CDTF">2017-11-16T09:31:00Z</dcterms:modified>
</cp:coreProperties>
</file>